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C55" w:rsidRDefault="00FD2C55" w:rsidP="00FD2C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FD2C55" w:rsidRDefault="00FD2C55" w:rsidP="00FD2C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FD2C55" w:rsidRDefault="00FD2C55" w:rsidP="00FD2C5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FD2C55" w:rsidTr="006061A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D2C55" w:rsidRDefault="00FD2C55" w:rsidP="006061AF">
            <w:pPr>
              <w:ind w:firstLine="85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D2C55" w:rsidRDefault="00FD2C55" w:rsidP="00FD2C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>от 06.03.2014  № 13</w:t>
      </w:r>
    </w:p>
    <w:p w:rsidR="00FD2C55" w:rsidRDefault="00FD2C55" w:rsidP="00FD2C5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4375"/>
      </w:tblGrid>
      <w:tr w:rsidR="00FD2C55" w:rsidTr="006061AF">
        <w:trPr>
          <w:trHeight w:val="1394"/>
          <w:tblCellSpacing w:w="0" w:type="dxa"/>
        </w:trPr>
        <w:tc>
          <w:tcPr>
            <w:tcW w:w="5560" w:type="dxa"/>
            <w:gridSpan w:val="2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0"/>
            </w:tblGrid>
            <w:tr w:rsidR="00FD2C55" w:rsidTr="006061AF">
              <w:trPr>
                <w:trHeight w:val="637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D2C55" w:rsidRDefault="00FD2C55" w:rsidP="006061AF">
                  <w:r>
                    <w:rPr>
                      <w:bCs/>
                    </w:rPr>
                    <w:t xml:space="preserve">Об утверждении положения о порядке обращения с ртутьсодержащими отходами на территории </w:t>
                  </w:r>
                  <w:proofErr w:type="spellStart"/>
                  <w:r>
                    <w:rPr>
                      <w:bCs/>
                    </w:rPr>
                    <w:t>Берёзовского</w:t>
                  </w:r>
                  <w:proofErr w:type="spellEnd"/>
                  <w:r>
                    <w:rPr>
                      <w:bCs/>
                    </w:rPr>
                    <w:t xml:space="preserve"> сельсовета</w:t>
                  </w:r>
                </w:p>
              </w:tc>
            </w:tr>
          </w:tbl>
          <w:p w:rsidR="00FD2C55" w:rsidRDefault="00FD2C55" w:rsidP="006061AF">
            <w:pPr>
              <w:rPr>
                <w:sz w:val="28"/>
                <w:szCs w:val="28"/>
              </w:rPr>
            </w:pPr>
          </w:p>
        </w:tc>
      </w:tr>
      <w:tr w:rsidR="00FD2C55" w:rsidTr="006061AF">
        <w:trPr>
          <w:gridAfter w:val="1"/>
          <w:wAfter w:w="4375" w:type="dxa"/>
          <w:trHeight w:val="510"/>
          <w:tblCellSpacing w:w="0" w:type="dxa"/>
        </w:trPr>
        <w:tc>
          <w:tcPr>
            <w:tcW w:w="1185" w:type="dxa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5"/>
            </w:tblGrid>
            <w:tr w:rsidR="00FD2C55" w:rsidTr="006061AF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D2C55" w:rsidRDefault="00FD2C55" w:rsidP="006061AF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D2C55" w:rsidRDefault="00FD2C55" w:rsidP="006061AF">
            <w:pPr>
              <w:rPr>
                <w:sz w:val="28"/>
                <w:szCs w:val="28"/>
              </w:rPr>
            </w:pPr>
          </w:p>
        </w:tc>
      </w:tr>
    </w:tbl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постановлением Правительства Российской Федерации от   03.09.2010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Федеральным законом от 06.10.2003 № 131-ФЗ «Об общих принципах организации местного самоуправления в</w:t>
      </w:r>
      <w:proofErr w:type="gramEnd"/>
      <w:r>
        <w:rPr>
          <w:sz w:val="28"/>
          <w:szCs w:val="28"/>
        </w:rPr>
        <w:t xml:space="preserve"> Российской Федерации»,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Положение о порядке обращения с ртутьсодержащими отходами на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(приложение 1).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физическим лицам, собственникам жилых квартир, жилых домов, руководителям предприятий, организаций, учреждений всех форм собственности, индивидуальным предпринимателям, осуществляющим обращение с ртутьсодержащими отходами, руководствоваться Положением, утвержденным настоящим постановлением.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Обеспечить информирование населения о порядке обращения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ртутьсодержащими отходами путем размещения информации на информационных стендах и общедоступных местах.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обнародовать в установленном порядке.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ind w:left="57"/>
        <w:rPr>
          <w:sz w:val="28"/>
          <w:szCs w:val="28"/>
        </w:rPr>
      </w:pPr>
    </w:p>
    <w:p w:rsidR="00FD2C55" w:rsidRDefault="00FD2C55" w:rsidP="00FD2C55">
      <w:pPr>
        <w:ind w:left="57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FD2C55" w:rsidRDefault="00FD2C55" w:rsidP="00FD2C55">
      <w:pPr>
        <w:ind w:left="57"/>
        <w:rPr>
          <w:sz w:val="28"/>
          <w:szCs w:val="28"/>
        </w:rPr>
      </w:pP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FD2C55" w:rsidRDefault="00FD2C55" w:rsidP="00FD2C55"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>
        <w:t>Приложение № 1 к постановлению</w:t>
      </w:r>
    </w:p>
    <w:p w:rsidR="00FD2C55" w:rsidRDefault="00FD2C55" w:rsidP="00FD2C55">
      <w:r>
        <w:t xml:space="preserve">                                                                                      администрации </w:t>
      </w:r>
      <w:proofErr w:type="spellStart"/>
      <w:r>
        <w:t>Берёзовского</w:t>
      </w:r>
      <w:proofErr w:type="spellEnd"/>
      <w:r>
        <w:t xml:space="preserve"> сельсовета</w:t>
      </w:r>
    </w:p>
    <w:p w:rsidR="00FD2C55" w:rsidRDefault="00FD2C55" w:rsidP="00FD2C55">
      <w:r>
        <w:t xml:space="preserve">                                                                                                        от 06.03.2014 № 13</w:t>
      </w:r>
    </w:p>
    <w:p w:rsidR="00FD2C55" w:rsidRDefault="00FD2C55" w:rsidP="00FD2C55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 порядке обращения с ртутьсодержащими отходами 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 территории  </w:t>
      </w:r>
      <w:proofErr w:type="spellStart"/>
      <w:r>
        <w:rPr>
          <w:bCs/>
          <w:sz w:val="28"/>
          <w:szCs w:val="28"/>
        </w:rPr>
        <w:t>Берёзовского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FD2C55" w:rsidRDefault="00FD2C55" w:rsidP="00FD2C55">
      <w:pPr>
        <w:jc w:val="both"/>
        <w:rPr>
          <w:sz w:val="28"/>
          <w:szCs w:val="28"/>
        </w:rPr>
      </w:pP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Настоящее положение разработано с целью упорядочения деятельности юридических лиц и индивидуальных предпринимателей, связанной с ведением первичного учета, сбором, а также с хранением, транспортировкой, сдачей и утилизацией ртутьсодержащих отходов на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Действие Положения распространяется на </w:t>
      </w:r>
      <w:proofErr w:type="gramStart"/>
      <w:r>
        <w:rPr>
          <w:sz w:val="28"/>
          <w:szCs w:val="28"/>
        </w:rPr>
        <w:t>все расположенные на</w:t>
      </w:r>
      <w:proofErr w:type="gramEnd"/>
      <w:r>
        <w:rPr>
          <w:sz w:val="28"/>
          <w:szCs w:val="28"/>
        </w:rPr>
        <w:t xml:space="preserve"> территории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предприятия (организации, учреждения) независимо от их форм собственности и ведомственной принадлежности, которые используют в своей деятельности ртутьсодержащие лампы, приборы и аппаратуру с ртутным заполнением, а также занимаются их утилизацией.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разработано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10.01.2002 № 7-ФЗ «Об охране окружающей среды»;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24.06.1998 № 89-ФЗ «Об отходах производства и потребления»;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03.09.2010 № 681 «Об утверждении Правил обращения с отходами производства и потребления в части осветительных устройств, электрических ламп, ненадлежащее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12.3.0.31—83 «Работы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ртутью. Требования безопасности»;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ГОСТ 1639—78 «Лом и отходы цветных металлов и сплавов. Общие технические условия»;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ГОСТ 12.1.005—88 «Общие санитарно-гигиенические требования к воздуху рабочей зоны»;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СанПиН 2.01.28—85 «Полигоны по обезвреживанию и захоронению токсичных промышленных отходов. Основные положения по проектированию»;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СанПиН 3183—84 «Порядок накопления, транспортировки, обезвреживания и захоронения промышленных отходов»;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СанПиН 4607—88 «Санитарные правила при работе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ртутью, ее соединениями и приборами с ртутным заполнением».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2. ПОРЯДОК ОБРАЩЕНИЯ С </w:t>
      </w:r>
      <w:proofErr w:type="gramStart"/>
      <w:r>
        <w:rPr>
          <w:bCs/>
          <w:sz w:val="28"/>
          <w:szCs w:val="28"/>
        </w:rPr>
        <w:t>РТУТЬСОДЕРЖАЩИМИ</w:t>
      </w:r>
      <w:proofErr w:type="gramEnd"/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ОТХОДАМИ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Юридические лица и индивидуальные предприниматели (учреждения, организации), которые используют ртутьсодержащие лампы, отходы или приборы, содержащие металлическую ртуть, на основании настоящего Положения разрабатывают и утверждают положения о порядке получения, ведения первичного учета, сбора, хранения и сдачи для дальнейшей утилизации, а также инструкцию по технике безопасности, противопожарной профилактике производственной санитарии для персонала, занятого сбором, хранением, транспортировкой и сдачей токсичных отходов.</w:t>
      </w:r>
      <w:proofErr w:type="gramEnd"/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и индивидуальные предприниматели (учреждения, организации) обеспечивают полный сбор токсичных отходов в виде люминесцентных ламп и других ртутьсодержащих отходов, для чего осуществляют ряд организационно-технических мероприятий: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а)    проводят ежегодно полную инвентаризацию приборов с содержанием ртути, ртутьсодержащих ламп и других ртутьсодержащих отходов с отражением в учетной документации результатов проведенных инвентаризаций;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б)    обеспечивают строгий учет приборов и оборудования с содержанием ртути, а также сохранность и правильность списания;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   осуществляют полный сбор и </w:t>
      </w:r>
      <w:proofErr w:type="gramStart"/>
      <w:r>
        <w:rPr>
          <w:sz w:val="28"/>
          <w:szCs w:val="28"/>
        </w:rPr>
        <w:t>своевременное</w:t>
      </w:r>
      <w:proofErr w:type="gramEnd"/>
      <w:r>
        <w:rPr>
          <w:sz w:val="28"/>
          <w:szCs w:val="28"/>
        </w:rPr>
        <w:t xml:space="preserve"> оприходование ртутьсодержащих отходов;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г)    списывают с основных фондов оборудование, аппаратуру, содержащие ртуть (по форме 2ТП-отходы), сдав их на утилизацию в специализированную организацию.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3. СБОР, ХРАНЕНИЕ, СДАЧА И ПРИЕМ ОТРАБОТАННЫХ РТУТЬСОДЕРЖАЩИХ ОТХОДОВ И ЛАМП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На всех предприятиях (организациях, учреждениях), приказом администрации назначаются лица, ответственные за полный сбор и своевременную сдачу приборов, содержащих ртуть, ртутьсодержащих ламп и ртутных отходов.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В учреждениях, организациях и на предприятиях сбор и хранение вышедших из строя приборов с ртутным заполнением, у которых нарушена герметичность, разбитых приборов и ламп производится в герметичные металлические емкости.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Хранение     ртутьсодержащих     отходов     и     ламп     должно     быть сосредоточено в специальных кладовых, закрепленных за ответственным лицом и обеспечивать ее полную сохранность. Кладовая по окончании рабочего дня должна закрываться на замок, а ключи сдаваться охране под</w:t>
      </w:r>
      <w:r>
        <w:rPr>
          <w:sz w:val="28"/>
          <w:szCs w:val="28"/>
        </w:rPr>
        <w:br/>
        <w:t>расписку.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Категорически запрещается уничтожать, выбрасывать или передавать отдельным гражданам отработанную ртуть и приборы, содержащие ее.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Прием ртутьсодержащих отходов от предприятий (учреждений, организаций) производится специализированной организацией.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Специализированное         предприятие обеспечивает прием ртутьсодержащих отходов, приборов с ртутным заполнением и их дальнейшую утилизацию в установленном порядке.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4. ПЕРВИЧНАЯ ОБРАБОТКА ВЫШЕДШИХ ИЗ СТРОЯ ОТРАБОТАННЫХ РТУТЬСОДЕРЖАЩИХ ОТХОДОВ И ЛАМП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местах  первичного сбора отработанных ртутьсодержащих ламп производится их учет и предварительная подготовка к сдаче специализированной организации.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Сбор ртутьсодержащих отходов осуществляется в герметичные стальные баллоны, исключающие потери.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сбор отходов ртути в тонкостенной стеклянной посуде, а также картонных упаковках.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работе с пылевидными отходами необходимо увлажнение на всех этапах погрузочно-разгрузочных работ.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замене отработанных ртутьсодержащих ламп, а также при их упаковке, погрузке и разгрузке необходимо соблюдать осторожность и принимать меры к сведению к минимуму боя ламп.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Размещение ламп для хранения и транспортировки осуществляется в заводскую упаковку или специальный контейнер емкостью не более 100 ламп.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Хранить упакованные лампы следует на стеллажах, в специально отведенном для этой цели помещении, где исключается повреждение коробок с лампами.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Разбитые лампы, обнаруженные при вскрытии упаковки, ссыпаются в специальный контейнер.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5. ПЕРВИЧНЫЙ УЧЕТ ОТРАБОТАННОЙ МЕТАЛЛИЧЕСКОЙ РТУТИ, РТУТЬСОДЕРЖАЩИХ ПРИБОРОВ, ЛАМП И ОТХОДОВ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   предприятиях   (учреждениях,    организациях),   эксплуатирующих изделия, содержащие ртуть, а также ртутьсодержащие отходы, должен быть организован количественный учет изделий с содержанием ртути.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Учет ртутьсодержащих отходов должен обеспечить строгий контроль, а их сохранностью при движении в производстве и эксплуатации.  Учет движения изделий с содержанием ртути в производстве и эксплуатации осуществляет ответственное лицо предприятия (учреждения, организации) с отражением в документах.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Книга первичного учета должна быть пронумерована, прошнурована, в конце   ее   указывается   количество   страниц,   а   подписи   руководителей закрепляются печатью.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6. МЕРЫ БЕЗОПАСНОСТИ ПРИ СБОРЕ, ХРАНЕНИИ, СДАЧЕ И ТРАНСПОРТИРОВКЕ РТУТЬСОДЕРЖАЩИХ ОТХОДОВ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 выполнении работ, связанных со сбором, хранением, сдачей и транспортировкой отходов ртути, следует соблюдать действующие санитарные правила, регламентирующие порядок накопления, транспортировки, обезвреживания промышленных отходов, санитарные </w:t>
      </w:r>
      <w:r>
        <w:rPr>
          <w:sz w:val="28"/>
          <w:szCs w:val="28"/>
        </w:rPr>
        <w:lastRenderedPageBreak/>
        <w:t>правила и экологические требования при работе с ртутью, ее соединениями и приборами с ртутным заполнением.</w:t>
      </w:r>
    </w:p>
    <w:p w:rsidR="00FD2C55" w:rsidRDefault="00FD2C55" w:rsidP="00FD2C55">
      <w:pPr>
        <w:jc w:val="center"/>
        <w:rPr>
          <w:bCs/>
          <w:sz w:val="28"/>
          <w:szCs w:val="28"/>
        </w:rPr>
      </w:pP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7. ТРЕБОВАНИЯ К ТРАНСПОРТИРОВКЕ И СДАЧЕ РТУТЬСОДЕРЖАЩИХ ОТХОДОВ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Транспортировка приборов с ртутным заполнением должна производиться специализированным транспортом. В случае его отсутствия допускается транспортировка другими транспортными средствами, исключающими возможность создания аварийных ситуаций, причинения вреда окружающей среде, здоровью людей. Водитель транспортного средства должен пройти инструктаж по технике безопасности. 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Транспортировка     должна     проводиться      в     герметичной     таре, обеспечивающей   сохранность   материала.   Материал   тары   должен   быть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инертным   в   отношении   составляющих   отходов    (см.    «Экологические требования при работе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ртутью, ее соединениями, ртутьсодержащими отходами и приборами с ртутным заполнением»).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Транспортировка люминесцентных ламп должна проводиться в заводской упаковке или специальном контейнере емкостью не более 100 штук, с обязательной укладкой мест правильными рядами во избежание боя.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На каждый рейс машины, перевозящей ртутьсодержащие отходы и металлическую ртуть, должен представляться сопроводительный документ с указанием вида продукции. Загрузка и разгрузка ртутьсодержащих отходов должна осуществляться в присутствии ответственного лица.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приеме ртутьсодержащих отходов и металлической ртути специализированным предприятием по утилизации и переработке отходов должны выдаваться документы, подтверждающие факт сдачи на переработку. Образец справки о сдаче – приёме отработанных ртутьсодержащих отходов представлен в приложении № 1.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8. ОТВЕТСТВЕННОСТЬ ЗА НЕСОБЛЮДЕНИЕ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ПРИРОДООХРАННЫХ И САНИТАРНЫХ ТРЕБОВАНИЙ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ПРИ ОБРАЩЕНИИ С РТУТНЫМИ ЛАМПАМИ, ПРИБОРАМИ,</w:t>
      </w:r>
    </w:p>
    <w:p w:rsidR="00FD2C55" w:rsidRDefault="00FD2C55" w:rsidP="00FD2C55">
      <w:pPr>
        <w:jc w:val="center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СОДЕРЖАЩИМИ</w:t>
      </w:r>
      <w:proofErr w:type="gramEnd"/>
      <w:r>
        <w:rPr>
          <w:bCs/>
          <w:sz w:val="28"/>
          <w:szCs w:val="28"/>
        </w:rPr>
        <w:t xml:space="preserve"> МЕТАЛЛИЧЕСКУЮ РТУТЬ, И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РТУТЬСОДЕРЖАЩИМИ ОТХОДАМИ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Предприятия (учреждения, организации), должностные лица и граждане, причинившие вред окружающей среде в результате нарушения требований безопасного обращения с ртутными отходами и ртутью и не выполняющие требования настоящего положения, несут дисциплинарную, административную или уголовную ответственность в соответствии с действующим законодательством.</w:t>
      </w:r>
    </w:p>
    <w:tbl>
      <w:tblPr>
        <w:tblpPr w:leftFromText="45" w:rightFromText="45" w:vertAnchor="text"/>
        <w:tblW w:w="959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8"/>
        <w:gridCol w:w="4467"/>
      </w:tblGrid>
      <w:tr w:rsidR="00FD2C55" w:rsidTr="00FD2C55">
        <w:trPr>
          <w:gridAfter w:val="1"/>
          <w:wAfter w:w="4467" w:type="dxa"/>
          <w:trHeight w:val="155"/>
          <w:tblCellSpacing w:w="0" w:type="dxa"/>
        </w:trPr>
        <w:tc>
          <w:tcPr>
            <w:tcW w:w="5128" w:type="dxa"/>
            <w:vAlign w:val="center"/>
          </w:tcPr>
          <w:p w:rsidR="00FD2C55" w:rsidRDefault="00FD2C55" w:rsidP="006061AF">
            <w:pPr>
              <w:jc w:val="both"/>
              <w:rPr>
                <w:sz w:val="28"/>
                <w:szCs w:val="28"/>
              </w:rPr>
            </w:pPr>
          </w:p>
        </w:tc>
      </w:tr>
      <w:tr w:rsidR="00FD2C55" w:rsidTr="00FD2C55">
        <w:trPr>
          <w:trHeight w:val="228"/>
          <w:tblCellSpacing w:w="0" w:type="dxa"/>
        </w:trPr>
        <w:tc>
          <w:tcPr>
            <w:tcW w:w="0" w:type="auto"/>
            <w:vAlign w:val="center"/>
          </w:tcPr>
          <w:p w:rsidR="00FD2C55" w:rsidRDefault="00FD2C55" w:rsidP="00606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67" w:type="dxa"/>
            <w:shd w:val="clear" w:color="auto" w:fill="FFFFFF"/>
            <w:vAlign w:val="center"/>
          </w:tcPr>
          <w:p w:rsidR="00FD2C55" w:rsidRDefault="00FD2C55" w:rsidP="006061AF">
            <w:pPr>
              <w:rPr>
                <w:rFonts w:ascii="Calibri" w:hAnsi="Calibri"/>
                <w:sz w:val="22"/>
                <w:szCs w:val="22"/>
              </w:rPr>
            </w:pPr>
          </w:p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FD2C55">
            <w:pPr>
              <w:jc w:val="right"/>
            </w:pPr>
          </w:p>
          <w:p w:rsidR="00FD2C55" w:rsidRDefault="00FD2C55" w:rsidP="00FD2C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</w:tc>
      </w:tr>
    </w:tbl>
    <w:p w:rsidR="00FD2C55" w:rsidRDefault="00FD2C55" w:rsidP="00FD2C5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Справка </w:t>
      </w:r>
      <w:r>
        <w:rPr>
          <w:sz w:val="28"/>
          <w:szCs w:val="28"/>
        </w:rPr>
        <w:t>№____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сдаче-приемке отработанной ртути, </w:t>
      </w:r>
      <w:proofErr w:type="gramStart"/>
      <w:r>
        <w:rPr>
          <w:sz w:val="28"/>
          <w:szCs w:val="28"/>
        </w:rPr>
        <w:t>ртутьсодержащих</w:t>
      </w:r>
      <w:proofErr w:type="gramEnd"/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ламп, приборов и реактивов (отходов) </w:t>
      </w:r>
      <w:proofErr w:type="gramStart"/>
      <w:r>
        <w:rPr>
          <w:sz w:val="28"/>
          <w:szCs w:val="28"/>
        </w:rPr>
        <w:t>на</w:t>
      </w:r>
      <w:proofErr w:type="gramEnd"/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пункт переработки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(договор на сдачу-приемку № _________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(наименование предприятия (организации, учреждения), адрес, телефон)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(наименование пункта переработки, адрес, телефон)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4._____________________________________</w:t>
      </w:r>
      <w:r>
        <w:rPr>
          <w:sz w:val="28"/>
          <w:szCs w:val="28"/>
        </w:rPr>
        <w:t>___________________________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(дата сдачи, количество отходов (прописью), их тип)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5._______________________________________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(дата приемки, количество отходов (прописью), их тип)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6._______________________________________</w:t>
      </w:r>
      <w:r>
        <w:rPr>
          <w:sz w:val="28"/>
          <w:szCs w:val="28"/>
        </w:rPr>
        <w:t>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(лицо, сдавшее отходы, подпись, штамп)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7._______________________________________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(лицо, принявшее отходы, подпись, штамп)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8._______________________________________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(в случае отказа приемки указать причину)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Контрольный талон к справке № </w:t>
      </w:r>
      <w:r>
        <w:rPr>
          <w:b/>
          <w:bCs/>
          <w:sz w:val="28"/>
          <w:szCs w:val="28"/>
          <w:u w:val="single"/>
        </w:rPr>
        <w:t>__________</w:t>
      </w:r>
      <w:r>
        <w:rPr>
          <w:b/>
          <w:bCs/>
          <w:sz w:val="28"/>
          <w:szCs w:val="28"/>
        </w:rPr>
        <w:t>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(договор на сдачу-приемку № _________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</w:t>
      </w:r>
      <w:r>
        <w:rPr>
          <w:sz w:val="28"/>
          <w:szCs w:val="28"/>
        </w:rPr>
        <w:t>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(наименование предприятия (организации, учреждения), адрес, телефон)_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(наименование пункта сбора, адрес, телефон)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4.____________________________________________________</w:t>
      </w:r>
      <w:r>
        <w:rPr>
          <w:sz w:val="28"/>
          <w:szCs w:val="28"/>
        </w:rPr>
        <w:t>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(дата сдачи, количество сдаваемых отходов (прописью), их тип)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5._______________________________________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(дата приемки, количество принятых отходов, прописью, их тип)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6._______________________________________</w:t>
      </w:r>
      <w:r>
        <w:rPr>
          <w:sz w:val="28"/>
          <w:szCs w:val="28"/>
        </w:rPr>
        <w:t>__________________________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(лицо, сдавшее отходы, подпись, штамп)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D2C55" w:rsidTr="006061AF">
        <w:trPr>
          <w:trHeight w:val="1590"/>
          <w:tblCellSpacing w:w="0" w:type="dxa"/>
        </w:trPr>
        <w:tc>
          <w:tcPr>
            <w:tcW w:w="4905" w:type="dxa"/>
            <w:shd w:val="clear" w:color="auto" w:fill="FFFFFF"/>
            <w:vAlign w:val="center"/>
          </w:tcPr>
          <w:p w:rsidR="00FD2C55" w:rsidRDefault="00FD2C55" w:rsidP="006061AF">
            <w:pPr>
              <w:rPr>
                <w:rFonts w:ascii="Calibri" w:hAnsi="Calibri"/>
                <w:sz w:val="22"/>
                <w:szCs w:val="22"/>
              </w:rPr>
            </w:pPr>
          </w:p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p w:rsidR="00FD2C55" w:rsidRDefault="00FD2C55" w:rsidP="006061AF"/>
          <w:tbl>
            <w:tblPr>
              <w:tblW w:w="9356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FD2C55" w:rsidTr="00FD2C55">
              <w:trPr>
                <w:tblCellSpacing w:w="0" w:type="dxa"/>
              </w:trPr>
              <w:tc>
                <w:tcPr>
                  <w:tcW w:w="5000" w:type="pct"/>
                  <w:vAlign w:val="center"/>
                </w:tcPr>
                <w:p w:rsidR="00FD2C55" w:rsidRDefault="00FD2C55" w:rsidP="006061A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</w:t>
                  </w:r>
                </w:p>
                <w:p w:rsidR="00FD2C55" w:rsidRDefault="00FD2C55" w:rsidP="006061AF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FD2C55" w:rsidRDefault="00FD2C55" w:rsidP="00FD2C55">
                  <w:pPr>
                    <w:ind w:right="-4167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Приложение №2</w:t>
                  </w:r>
                </w:p>
                <w:p w:rsidR="00FD2C55" w:rsidRDefault="00FD2C55" w:rsidP="006061AF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Приложение № 2</w:t>
                  </w:r>
                </w:p>
              </w:tc>
            </w:tr>
          </w:tbl>
          <w:p w:rsidR="00FD2C55" w:rsidRDefault="00FD2C55" w:rsidP="00FD2C55">
            <w:pPr>
              <w:jc w:val="right"/>
              <w:rPr>
                <w:sz w:val="28"/>
                <w:szCs w:val="28"/>
              </w:rPr>
            </w:pPr>
          </w:p>
        </w:tc>
      </w:tr>
    </w:tbl>
    <w:p w:rsidR="00FD2C55" w:rsidRDefault="00FD2C55" w:rsidP="00FD2C5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Памятка для граждан о правилах эксплуатации и утилизации ртутьсодержащих </w:t>
      </w:r>
      <w:r>
        <w:rPr>
          <w:b/>
          <w:sz w:val="28"/>
          <w:szCs w:val="28"/>
        </w:rPr>
        <w:t>ламп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Люминесцентные энергосберегающие лампы – качественно новый источник света. Люминесцентная лампа это трубка с электродами, заполненная парами ртути и инертным газом (аргоном), а ее внутренние стенки покрыты люминофором. В отличие от традиционных ламп закаливания спектральный состав видимого излучения люминесцентных энергосберегающих ламп зависит от состава люминофора, в связи с чем последние могут иметь разную цветовую температуру, которая определяет цвет лампы (2700 К – мягкий белый свет, 4200 К – дневной свет, 6400 К </w:t>
      </w:r>
      <w:proofErr w:type="gramStart"/>
      <w:r>
        <w:rPr>
          <w:sz w:val="28"/>
          <w:szCs w:val="28"/>
        </w:rPr>
        <w:t>-х</w:t>
      </w:r>
      <w:proofErr w:type="gramEnd"/>
      <w:r>
        <w:rPr>
          <w:sz w:val="28"/>
          <w:szCs w:val="28"/>
        </w:rPr>
        <w:t>олодный белый свет).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достоинствами люминесцентных энергосберегающих ламп являются значительная световая отдача, что позволяет создать высокие уровни освещенности, экономичность, благоприятный спектральный состав света, </w:t>
      </w:r>
      <w:proofErr w:type="spellStart"/>
      <w:r>
        <w:rPr>
          <w:sz w:val="28"/>
          <w:szCs w:val="28"/>
        </w:rPr>
        <w:t>диффузность</w:t>
      </w:r>
      <w:proofErr w:type="spellEnd"/>
      <w:r>
        <w:rPr>
          <w:sz w:val="28"/>
          <w:szCs w:val="28"/>
        </w:rPr>
        <w:t xml:space="preserve"> светового потока и сравнительно невысокая яркость. Лучистый поток люминесцентных ламп не оказывает вредного воздействия на организм человека, интенсивность излучения этих ламп в области ультрафиолетовой части спектра незначительна, а обычное стекло, из которого изготовляются трубки люминесцентных ламп, практически не пропускают ультрафиолетовые лучи.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Компактные шарообразные энергосберегающие лампы, имеющие двойное стекло, в части ультрафиолетового излучения полностью безопасны.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Основной негативный момент при использовании люминесцентных ламп – наличие небольшого количества (40-50мг) ртути. Ртуть герметично изолирована в стеклянной трубке, поэтому с точки зрения токсикологии эксплуатация ламп безопасна. Выделение ядовитого вещества в окружающую среду возможно только в случае технического повреждения. Поэтому лампы требуют особой утилизации. Нельзя выбрасывать энергосберегающие лампы в мусоропровод и уличные контейнеры для сбора ТБО. При повреждении ламп необходимо принять меры безопасности: проветрить помещение, при помощи влажной ветоши собрать осколки и капли ртути в герметичную емкость с крышкой, провести влажную уборку.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Широкомасштабное использование ламп без принятия мер по сбору, хранению, обезвреживанию и утилизации при нарушении целостности, неизбежно приведет к попаданию вредного вещества в атмосферный воздух, почву.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безопасности обращения с ртутьсодержащими отходами, </w:t>
      </w:r>
      <w:proofErr w:type="gramStart"/>
      <w:r>
        <w:rPr>
          <w:sz w:val="28"/>
          <w:szCs w:val="28"/>
        </w:rPr>
        <w:t>лампы</w:t>
      </w:r>
      <w:proofErr w:type="gramEnd"/>
      <w:r>
        <w:rPr>
          <w:sz w:val="28"/>
          <w:szCs w:val="28"/>
        </w:rPr>
        <w:t xml:space="preserve"> пришедшие в негодность, не повреждая, необходимо утилизировать, пользуясь услугами специализированных организаций. Поврежденные ртутьсодержащие лампы опасны для здоровья.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Берегите свое здоровье и здоровье окружающих вас людей!</w:t>
      </w:r>
    </w:p>
    <w:tbl>
      <w:tblPr>
        <w:tblpPr w:leftFromText="45" w:rightFromText="45" w:vertAnchor="text"/>
        <w:tblW w:w="905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3995"/>
      </w:tblGrid>
      <w:tr w:rsidR="00FD2C55" w:rsidTr="00076689">
        <w:trPr>
          <w:gridAfter w:val="1"/>
          <w:wAfter w:w="3995" w:type="dxa"/>
          <w:trHeight w:val="19"/>
          <w:tblCellSpacing w:w="0" w:type="dxa"/>
        </w:trPr>
        <w:tc>
          <w:tcPr>
            <w:tcW w:w="5060" w:type="dxa"/>
            <w:vAlign w:val="center"/>
          </w:tcPr>
          <w:p w:rsidR="00FD2C55" w:rsidRDefault="00FD2C55" w:rsidP="00076689">
            <w:pPr>
              <w:jc w:val="right"/>
              <w:rPr>
                <w:sz w:val="28"/>
                <w:szCs w:val="28"/>
              </w:rPr>
            </w:pPr>
          </w:p>
        </w:tc>
      </w:tr>
      <w:tr w:rsidR="00FD2C55" w:rsidTr="00076689">
        <w:trPr>
          <w:trHeight w:val="8"/>
          <w:tblCellSpacing w:w="0" w:type="dxa"/>
        </w:trPr>
        <w:tc>
          <w:tcPr>
            <w:tcW w:w="0" w:type="auto"/>
            <w:vAlign w:val="center"/>
          </w:tcPr>
          <w:p w:rsidR="00FD2C55" w:rsidRDefault="00FD2C55" w:rsidP="006061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95" w:type="dxa"/>
            <w:shd w:val="clear" w:color="auto" w:fill="FFFFFF"/>
            <w:vAlign w:val="center"/>
          </w:tcPr>
          <w:p w:rsidR="00FD2C55" w:rsidRDefault="00076689" w:rsidP="00076689">
            <w:pPr>
              <w:jc w:val="right"/>
            </w:pPr>
            <w:bookmarkStart w:id="0" w:name="_GoBack"/>
            <w:bookmarkEnd w:id="0"/>
            <w:r>
              <w:t>Приложение № 3</w:t>
            </w:r>
          </w:p>
          <w:p w:rsidR="00FD2C55" w:rsidRDefault="00FD2C55" w:rsidP="006061AF">
            <w:pPr>
              <w:jc w:val="both"/>
              <w:rPr>
                <w:sz w:val="28"/>
                <w:szCs w:val="28"/>
              </w:rPr>
            </w:pPr>
          </w:p>
        </w:tc>
      </w:tr>
    </w:tbl>
    <w:p w:rsidR="00FD2C55" w:rsidRDefault="00FD2C55" w:rsidP="00FD2C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МЕРЫ МЕДИЦИНСКОЙ </w:t>
      </w:r>
      <w:r>
        <w:rPr>
          <w:b/>
          <w:bCs/>
          <w:sz w:val="28"/>
          <w:szCs w:val="28"/>
        </w:rPr>
        <w:t xml:space="preserve">                       </w:t>
      </w:r>
    </w:p>
    <w:p w:rsidR="00FD2C55" w:rsidRDefault="00FD2C55" w:rsidP="00FD2C5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ПОМОЩИ ПРИ ОТРАВЛЕНИИ РТУТЬЮ 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ЕЁ СОЕДИНЕНИЯМИ</w:t>
      </w:r>
    </w:p>
    <w:p w:rsidR="00FD2C55" w:rsidRDefault="00FD2C55" w:rsidP="00FD2C55">
      <w:pPr>
        <w:jc w:val="center"/>
        <w:rPr>
          <w:sz w:val="28"/>
          <w:szCs w:val="28"/>
        </w:rPr>
      </w:pP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1.    </w:t>
      </w:r>
      <w:r>
        <w:rPr>
          <w:b/>
          <w:bCs/>
          <w:sz w:val="28"/>
          <w:szCs w:val="28"/>
        </w:rPr>
        <w:t>Металлическая ртуть</w:t>
      </w:r>
      <w:r>
        <w:rPr>
          <w:sz w:val="28"/>
          <w:szCs w:val="28"/>
        </w:rPr>
        <w:t xml:space="preserve"> относится к чрезвычайно токсичным веществам в основном ингаляционного действия. Несоблюдение правил техники безопасности может привести к ртутным отравлениям. Отравление происходит главным образом при вдыхании паров, 80% вдыхаемой ртути поглощается легкими. Она обладает кумулятивным действием в организме.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Пары ртути не имеют ни цвета, ни запаха, ни вкуса, ни предела насыщения, не оказывают немедленного раздражающего действия на органы дыхания, зрения, кожный покров и т.д. В зависимости от количества поступающей в организм ртути различают острое и хроническое отравление. Острое отравление парами ртути происходит при быстром поступлении их в организм в значительных количествах. Хронические отравления наступают при продолжительном контакте с небольшими концентрациями паров ртути.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Симптомы отравлений. </w:t>
      </w:r>
      <w:r>
        <w:rPr>
          <w:sz w:val="28"/>
          <w:szCs w:val="28"/>
        </w:rPr>
        <w:t>Симптомы острого отравления обнаруживаются в первую очередь в пищеводе. Появляется медно-красная окраска слизистых оболочек рта и глотки, металлический вкус во рту, тошнота, боли в животе, рвотный эффект, температура часто повышается до (38-39)°С.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Через несколько часов, а иногда и дней, может появиться понос, большей частью кровавый. Моча мутная. Наблюдаются покраснения, набухания и кровоточивость десен, на них появляется характерная темная кайма сульфида ртути.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Отравление сопровождается чувством страха, сильными головными болями, болями при глотании, частым пульсом, сердечной слабостью, судорогами икроножных мышц.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тяжелых отравлениях парами ртути через несколько дней может наступить летальный исход.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Хроническое отравление ртутью (</w:t>
      </w:r>
      <w:proofErr w:type="spellStart"/>
      <w:r>
        <w:rPr>
          <w:sz w:val="28"/>
          <w:szCs w:val="28"/>
        </w:rPr>
        <w:t>меркуриализм</w:t>
      </w:r>
      <w:proofErr w:type="spellEnd"/>
      <w:r>
        <w:rPr>
          <w:sz w:val="28"/>
          <w:szCs w:val="28"/>
        </w:rPr>
        <w:t xml:space="preserve">) обычно начинается с ярко выраженными симптомами острого отравления. В дальнейшем постепенно развиваются общее недомогание, снижение аппетита, диспепсия, потеря в весе. </w:t>
      </w:r>
      <w:proofErr w:type="gramStart"/>
      <w:r>
        <w:rPr>
          <w:sz w:val="28"/>
          <w:szCs w:val="28"/>
        </w:rPr>
        <w:t>Пораженный</w:t>
      </w:r>
      <w:proofErr w:type="gramEnd"/>
      <w:r>
        <w:rPr>
          <w:sz w:val="28"/>
          <w:szCs w:val="28"/>
        </w:rPr>
        <w:t xml:space="preserve"> становится нервным, появляются слабость, сонливость, тяжелые сны, раздражительность, головные боли, боли в суставах и конечностях, апатия. В тяжелых случаях отравления снижается работоспособность, умственная деятельность и память. Постепенно развивается «ртутный тремор» пальцев рук, век, губ и ног, то есть типичный признак ртутной неврастении.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 хронических отравлениях может наблюдаться скрытый период, когда   полностью    или    частично    отсутствуют    какие-либо   характерные симптомы.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/>
          <w:bCs/>
          <w:sz w:val="28"/>
          <w:szCs w:val="28"/>
        </w:rPr>
        <w:t xml:space="preserve"> Первая помощь при ртутных отравлениях. В </w:t>
      </w:r>
      <w:r>
        <w:rPr>
          <w:sz w:val="28"/>
          <w:szCs w:val="28"/>
        </w:rPr>
        <w:t xml:space="preserve">случае явных признаков отравления ртутью желудок пораженного немедленно и неоднократно </w:t>
      </w:r>
      <w:r>
        <w:rPr>
          <w:sz w:val="28"/>
          <w:szCs w:val="28"/>
        </w:rPr>
        <w:lastRenderedPageBreak/>
        <w:t>обильно промывается водой с (20—30)г активированного угля или белковой водой.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Пострадавшему дается выпить около 1 л молока, а затем — взбитый с водой яичный белок. В заключение дается слабительное.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До оказания врачебной помощи необходимо полоскать рот водным раствором бертолетовой соли или 5%-м раствором хлористого цинка.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Пострадавшему необходим полный покой.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4.    </w:t>
      </w:r>
      <w:r>
        <w:rPr>
          <w:b/>
          <w:bCs/>
          <w:sz w:val="28"/>
          <w:szCs w:val="28"/>
        </w:rPr>
        <w:t>Врачебная неотложная помощь.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>При   попадании   металлической   ртути    в   желудок   подкожно    или внутримышечно   вводится   5%-й   раствор   «</w:t>
      </w:r>
      <w:proofErr w:type="spellStart"/>
      <w:r>
        <w:rPr>
          <w:sz w:val="28"/>
          <w:szCs w:val="28"/>
        </w:rPr>
        <w:t>Унитиола</w:t>
      </w:r>
      <w:proofErr w:type="spellEnd"/>
      <w:r>
        <w:rPr>
          <w:sz w:val="28"/>
          <w:szCs w:val="28"/>
        </w:rPr>
        <w:t>»   и   дается   антидот «</w:t>
      </w:r>
      <w:proofErr w:type="spellStart"/>
      <w:r>
        <w:rPr>
          <w:sz w:val="28"/>
          <w:szCs w:val="28"/>
        </w:rPr>
        <w:t>Metallorum</w:t>
      </w:r>
      <w:proofErr w:type="spellEnd"/>
      <w:r>
        <w:rPr>
          <w:sz w:val="28"/>
          <w:szCs w:val="28"/>
        </w:rPr>
        <w:t>». Предварительно выпивается (200—300) мл воды.</w:t>
      </w:r>
    </w:p>
    <w:p w:rsidR="00FD2C55" w:rsidRDefault="00FD2C55" w:rsidP="00FD2C5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тяжелых отравлениях парами ртути пострадавшему вводится в (желудок через зонд разведенная в 300 мл воды 1 ложка уксусной эссенции (ледяной уксусной кислоты), а затем— 100 мл антидота «</w:t>
      </w:r>
      <w:proofErr w:type="spellStart"/>
      <w:r>
        <w:rPr>
          <w:sz w:val="28"/>
          <w:szCs w:val="28"/>
        </w:rPr>
        <w:t>Metallorum</w:t>
      </w:r>
      <w:proofErr w:type="spellEnd"/>
      <w:r>
        <w:rPr>
          <w:sz w:val="28"/>
          <w:szCs w:val="28"/>
        </w:rPr>
        <w:t>».</w:t>
      </w:r>
      <w:proofErr w:type="gramEnd"/>
      <w:r>
        <w:rPr>
          <w:sz w:val="28"/>
          <w:szCs w:val="28"/>
        </w:rPr>
        <w:t xml:space="preserve"> Вместо уксусной эссенции (кислоты) можно использовать 1,5 г лимонной кислоты или 2 г виннокаменной соли. Через 10 минут желудок промывается слегка подкисленной водой до появления «чистой» воды (до нейтральной рН среды). После этой процедуры дается слабительное.</w:t>
      </w:r>
    </w:p>
    <w:p w:rsidR="00FD2C55" w:rsidRDefault="00FD2C55" w:rsidP="00FD2C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Весьма эффективно свежеприготовленное противоядие </w:t>
      </w:r>
      <w:proofErr w:type="spellStart"/>
      <w:r>
        <w:rPr>
          <w:sz w:val="28"/>
          <w:szCs w:val="28"/>
        </w:rPr>
        <w:t>Стржижевского</w:t>
      </w:r>
      <w:proofErr w:type="spellEnd"/>
      <w:r>
        <w:rPr>
          <w:sz w:val="28"/>
          <w:szCs w:val="28"/>
        </w:rPr>
        <w:t>. Оно готовится растворением в 100 мл воды 1,25 г бикарбоната натрия, 0,1 г гидроксида натрия, 0,38 г сернокислого магния и (0,5-0,7) г сероводорода. Все приготовленное количество противоядия выпивается в один прием.</w:t>
      </w:r>
    </w:p>
    <w:p w:rsidR="00FD2C55" w:rsidRDefault="00FD2C55" w:rsidP="00FD2C55">
      <w:pPr>
        <w:jc w:val="both"/>
        <w:rPr>
          <w:rFonts w:eastAsia="Calibri"/>
          <w:sz w:val="28"/>
          <w:szCs w:val="28"/>
          <w:lang w:eastAsia="en-US"/>
        </w:rPr>
      </w:pP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rPr>
          <w:sz w:val="28"/>
          <w:szCs w:val="28"/>
        </w:rPr>
      </w:pPr>
    </w:p>
    <w:p w:rsidR="00FD2C55" w:rsidRDefault="00FD2C55" w:rsidP="00FD2C55">
      <w:pPr>
        <w:rPr>
          <w:sz w:val="28"/>
          <w:szCs w:val="28"/>
        </w:rPr>
      </w:pPr>
    </w:p>
    <w:p w:rsidR="008F4A4A" w:rsidRDefault="008F4A4A"/>
    <w:sectPr w:rsidR="008F4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D0"/>
    <w:rsid w:val="00076689"/>
    <w:rsid w:val="00225FD0"/>
    <w:rsid w:val="008F4A4A"/>
    <w:rsid w:val="00F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2016-04-04T09:42:00Z</dcterms:created>
  <dcterms:modified xsi:type="dcterms:W3CDTF">2016-04-04T09:53:00Z</dcterms:modified>
</cp:coreProperties>
</file>